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345496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345496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670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4E4C92" id="Прямоугольник 1" o:spid="_x0000_s1026" style="position:absolute;margin-left:-10.85pt;margin-top:-6.85pt;width:7in;height:765.5pt;z-index:25165670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350729" w:rsidRPr="00345496">
        <w:rPr>
          <w:rFonts w:ascii="Liberation Serif" w:hAnsi="Liberation Serif" w:cs="Liberation Serif"/>
          <w:u w:val="single"/>
        </w:rPr>
        <w:t>КСТРЕННОЕ ПРЕДУПРЕЖДЕНИЕ № НЯ-7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45496" w:rsidRPr="00345496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345496" w:rsidRDefault="005029BF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345496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345496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345496">
        <w:br w:type="page"/>
      </w:r>
    </w:p>
    <w:p w:rsidR="00201148" w:rsidRPr="00345496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345496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По данным Челябинского ЦГМС (</w:t>
      </w:r>
      <w:hyperlink r:id="rId6">
        <w:r w:rsidRPr="00345496">
          <w:rPr>
            <w:b/>
            <w:sz w:val="28"/>
            <w:szCs w:val="28"/>
          </w:rPr>
          <w:t>http://www.chelpogoda.ru/</w:t>
        </w:r>
      </w:hyperlink>
      <w:r w:rsidRPr="00345496">
        <w:rPr>
          <w:b/>
          <w:sz w:val="28"/>
          <w:szCs w:val="28"/>
        </w:rPr>
        <w:t xml:space="preserve">): </w:t>
      </w:r>
    </w:p>
    <w:p w:rsidR="005B6E9E" w:rsidRPr="00345496" w:rsidRDefault="005B6E9E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Ночью </w:t>
      </w:r>
      <w:r w:rsidR="00D74B73">
        <w:rPr>
          <w:b/>
          <w:sz w:val="28"/>
          <w:szCs w:val="28"/>
        </w:rPr>
        <w:t>9</w:t>
      </w:r>
      <w:r w:rsidR="00345496" w:rsidRPr="00345496">
        <w:rPr>
          <w:b/>
          <w:sz w:val="28"/>
          <w:szCs w:val="28"/>
        </w:rPr>
        <w:t xml:space="preserve"> февраля в отдельных районах Челябинской области ожидается сильный снег, в отдельных районах метели, местами снежные заносы, гололедица от наката.</w:t>
      </w:r>
    </w:p>
    <w:p w:rsidR="00201148" w:rsidRPr="00345496" w:rsidRDefault="005029BF">
      <w:pPr>
        <w:spacing w:line="230" w:lineRule="auto"/>
        <w:ind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345496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345496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Рекомендуется: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Органам местного самоуправления</w:t>
      </w:r>
      <w:r w:rsidRPr="00345496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систем оповещения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45496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45496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B6E9E" w:rsidRPr="00345496">
        <w:rPr>
          <w:sz w:val="28"/>
          <w:szCs w:val="28"/>
        </w:rPr>
        <w:t>авления (ЕДДС) до 18.00 часов 0</w:t>
      </w:r>
      <w:r w:rsidR="00350729" w:rsidRPr="00345496">
        <w:rPr>
          <w:sz w:val="28"/>
          <w:szCs w:val="28"/>
        </w:rPr>
        <w:t>8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на электронный адрес </w:t>
      </w:r>
      <w:r w:rsidRPr="00345496">
        <w:rPr>
          <w:b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350729" w:rsidRPr="00345496">
        <w:rPr>
          <w:sz w:val="28"/>
          <w:szCs w:val="28"/>
        </w:rPr>
        <w:t>7</w:t>
      </w:r>
      <w:r w:rsidRPr="00345496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345496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Филиалу ПАО «Россети Урал» - Южно-Уральское предприятие магистральных электрических сетей, Филиалу ПАО «Россети Урал» - «Челябэнерго»: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ФКУ Упрдор «Южный Урал» и Министерству дорожного хозяйства и транспорта Челябинской области: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достаточность сформированных запасов противогололёдного реагента;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345496">
        <w:rPr>
          <w:sz w:val="28"/>
          <w:szCs w:val="28"/>
        </w:rPr>
        <w:t xml:space="preserve"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</w:t>
      </w:r>
      <w:r w:rsidRPr="00345496">
        <w:rPr>
          <w:sz w:val="28"/>
          <w:szCs w:val="28"/>
        </w:rPr>
        <w:lastRenderedPageBreak/>
        <w:t>повседневн</w:t>
      </w:r>
      <w:r w:rsidR="005B6E9E" w:rsidRPr="00345496">
        <w:rPr>
          <w:sz w:val="28"/>
          <w:szCs w:val="28"/>
        </w:rPr>
        <w:t>ого управления до 18.00 часов 0</w:t>
      </w:r>
      <w:r w:rsidR="00350729" w:rsidRPr="00345496">
        <w:rPr>
          <w:sz w:val="28"/>
          <w:szCs w:val="28"/>
        </w:rPr>
        <w:t>8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45496">
        <w:rPr>
          <w:b/>
          <w:bCs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350729" w:rsidRPr="00345496">
        <w:rPr>
          <w:sz w:val="28"/>
          <w:szCs w:val="28"/>
        </w:rPr>
        <w:t>7</w:t>
      </w:r>
      <w:r w:rsidRPr="00345496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345496" w:rsidRPr="00345496" w:rsidTr="00EA28E0">
        <w:trPr>
          <w:cantSplit/>
          <w:trHeight w:hRule="exact" w:val="1706"/>
        </w:trPr>
        <w:tc>
          <w:tcPr>
            <w:tcW w:w="5387" w:type="dxa"/>
          </w:tcPr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Заместитель начальника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 Челябинской области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345496" w:rsidRDefault="005029BF">
            <w:pPr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201148" w:rsidRPr="00345496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5029BF" w:rsidP="00EA28E0">
            <w:pPr>
              <w:tabs>
                <w:tab w:val="center" w:pos="1026"/>
              </w:tabs>
              <w:rPr>
                <w:szCs w:val="28"/>
              </w:rPr>
            </w:pPr>
            <w:r w:rsidRPr="00345496">
              <w:rPr>
                <w:sz w:val="28"/>
                <w:szCs w:val="28"/>
              </w:rPr>
              <w:t xml:space="preserve">     </w:t>
            </w:r>
            <w:r w:rsidR="00EA28E0">
              <w:rPr>
                <w:sz w:val="28"/>
                <w:szCs w:val="28"/>
              </w:rPr>
              <w:t>п/п</w:t>
            </w:r>
            <w:bookmarkStart w:id="0" w:name="_GoBack"/>
            <w:bookmarkEnd w:id="0"/>
          </w:p>
        </w:tc>
        <w:tc>
          <w:tcPr>
            <w:tcW w:w="2433" w:type="dxa"/>
          </w:tcPr>
          <w:p w:rsidR="00201148" w:rsidRPr="00345496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350729" w:rsidP="00350729">
            <w:pPr>
              <w:rPr>
                <w:szCs w:val="28"/>
              </w:rPr>
            </w:pPr>
            <w:bookmarkStart w:id="1" w:name="_Hlk38710384"/>
            <w:bookmarkEnd w:id="1"/>
            <w:r w:rsidRPr="00345496">
              <w:rPr>
                <w:sz w:val="28"/>
                <w:szCs w:val="28"/>
              </w:rPr>
              <w:t>М.И. Шалковский</w:t>
            </w:r>
          </w:p>
        </w:tc>
      </w:tr>
    </w:tbl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201148" w:rsidRPr="00345496" w:rsidRDefault="005029BF">
      <w:pPr>
        <w:jc w:val="right"/>
        <w:rPr>
          <w:b/>
          <w:sz w:val="22"/>
          <w:szCs w:val="22"/>
        </w:rPr>
      </w:pPr>
      <w:r w:rsidRPr="00345496">
        <w:rPr>
          <w:b/>
          <w:sz w:val="22"/>
          <w:szCs w:val="22"/>
        </w:rPr>
        <w:t>Приложение 1</w:t>
      </w:r>
    </w:p>
    <w:p w:rsidR="00201148" w:rsidRPr="00345496" w:rsidRDefault="00201148">
      <w:pPr>
        <w:jc w:val="center"/>
        <w:rPr>
          <w:b/>
          <w:spacing w:val="-20"/>
          <w:sz w:val="22"/>
          <w:szCs w:val="22"/>
        </w:rPr>
      </w:pPr>
    </w:p>
    <w:p w:rsidR="00201148" w:rsidRPr="00345496" w:rsidRDefault="005029BF">
      <w:pPr>
        <w:jc w:val="center"/>
        <w:rPr>
          <w:b/>
          <w:spacing w:val="-20"/>
        </w:rPr>
      </w:pPr>
      <w:r w:rsidRPr="00345496">
        <w:rPr>
          <w:b/>
          <w:spacing w:val="-20"/>
        </w:rPr>
        <w:t xml:space="preserve">Отчет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дежурных служб,  организаций и предприятий</w:t>
      </w:r>
      <w:r w:rsidRPr="00345496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5680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201148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148" w:rsidRDefault="005029B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5680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201148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01148" w:rsidRDefault="005029B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345496">
        <w:rPr>
          <w:spacing w:val="-20"/>
        </w:rPr>
        <w:t>.</w:t>
      </w:r>
    </w:p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>
      <w:pPr>
        <w:tabs>
          <w:tab w:val="left" w:pos="1377"/>
        </w:tabs>
      </w:pPr>
    </w:p>
    <w:sectPr w:rsidR="00201148" w:rsidRPr="00345496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201148"/>
    <w:rsid w:val="00201148"/>
    <w:rsid w:val="00345496"/>
    <w:rsid w:val="003502EF"/>
    <w:rsid w:val="00350729"/>
    <w:rsid w:val="005029BF"/>
    <w:rsid w:val="005B6E9E"/>
    <w:rsid w:val="00723A9B"/>
    <w:rsid w:val="007874F5"/>
    <w:rsid w:val="00A71B0C"/>
    <w:rsid w:val="00D74B73"/>
    <w:rsid w:val="00E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546E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C919-A669-488D-8912-128171A2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Пашнин Евгений Александрович</cp:lastModifiedBy>
  <cp:revision>278</cp:revision>
  <cp:lastPrinted>2026-02-08T07:53:00Z</cp:lastPrinted>
  <dcterms:created xsi:type="dcterms:W3CDTF">2022-11-13T18:40:00Z</dcterms:created>
  <dcterms:modified xsi:type="dcterms:W3CDTF">2026-02-08T07:54:00Z</dcterms:modified>
  <dc:language>ru-RU</dc:language>
</cp:coreProperties>
</file>