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  <mc:AlternateContent>
          <mc:Choice Requires="wps">
            <w:drawing>
              <wp:anchor behindDoc="0" distT="28575" distB="28575" distL="28575" distR="28575" simplePos="0" locked="0" layoutInCell="1" allowOverlap="1" relativeHeight="4" wp14:anchorId="561D8C22">
                <wp:simplePos x="0" y="0"/>
                <wp:positionH relativeFrom="column">
                  <wp:posOffset>-137795</wp:posOffset>
                </wp:positionH>
                <wp:positionV relativeFrom="paragraph">
                  <wp:posOffset>-86995</wp:posOffset>
                </wp:positionV>
                <wp:extent cx="6400800" cy="9721850"/>
                <wp:effectExtent l="28575" t="28575" r="28575" b="28575"/>
                <wp:wrapNone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721800"/>
                        </a:xfrm>
                        <a:prstGeom prst="rect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0.85pt;margin-top:-6.85pt;width:503.95pt;height:765.45pt;mso-wrap-style:none;v-text-anchor:middle" wp14:anchorId="561D8C22">
                <v:fill o:detectmouseclick="t" on="false"/>
                <v:stroke color="black" weight="57240" joinstyle="miter" endcap="flat"/>
                <w10:wrap type="none"/>
              </v:rect>
            </w:pict>
          </mc:Fallback>
        </mc:AlternateContent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FF0000"/>
          <w:sz w:val="28"/>
          <w:lang w:eastAsia="ru-RU"/>
        </w:rPr>
      </w:pPr>
      <w:r>
        <w:rPr>
          <w:b/>
          <w:bCs/>
          <w:color w:val="FF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Normal"/>
        <w:suppressLineNumbers/>
        <w:ind w:firstLine="567" w:end="333"/>
        <w:jc w:val="center"/>
        <w:rPr>
          <w:b/>
          <w:bCs/>
          <w:color w:val="000000"/>
          <w:sz w:val="28"/>
          <w:lang w:eastAsia="ru-RU"/>
        </w:rPr>
      </w:pPr>
      <w:r>
        <w:rPr>
          <w:b/>
          <w:bCs/>
          <w:color w:val="000000"/>
          <w:sz w:val="28"/>
          <w:lang w:eastAsia="ru-RU"/>
        </w:rPr>
      </w:r>
    </w:p>
    <w:p>
      <w:pPr>
        <w:pStyle w:val="BlockText"/>
        <w:suppressLineNumbers/>
        <w:spacing w:lineRule="auto" w:line="360"/>
        <w:ind w:hanging="0" w:start="0" w:end="0"/>
        <w:jc w:val="center"/>
        <w:rPr>
          <w:color w:val="000000"/>
        </w:rPr>
      </w:pPr>
      <w:r>
        <w:rPr>
          <w:rFonts w:cs="Liberation Serif" w:ascii="Liberation Serif" w:hAnsi="Liberation Serif"/>
          <w:color w:val="000000"/>
          <w:u w:val="single"/>
        </w:rPr>
        <w:t>ЭКСТРЕННОЕ ПРЕДУПРЕЖДЕНИЕ № НЯ-</w:t>
      </w:r>
      <w:r>
        <w:rPr>
          <w:rFonts w:cs="Liberation Serif;Times New Roma" w:ascii="Liberation Serif;Times New Roma" w:hAnsi="Liberation Serif;Times New Roma"/>
          <w:color w:val="000000"/>
          <w:u w:val="single"/>
        </w:rPr>
        <w:t>4</w:t>
      </w:r>
      <w:r>
        <w:rPr>
          <w:rFonts w:cs="Liberation Serif;Times New Roma" w:ascii="Liberation Serif;Times New Roma" w:hAnsi="Liberation Serif;Times New Roma"/>
          <w:color w:val="000000"/>
          <w:u w:val="single"/>
        </w:rPr>
        <w:t>2</w:t>
      </w:r>
    </w:p>
    <w:p>
      <w:pPr>
        <w:pStyle w:val="Normal"/>
        <w:suppressLineNumbers/>
        <w:spacing w:lineRule="auto" w:line="360"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>
      <w:pPr>
        <w:pStyle w:val="Normal"/>
        <w:suppressLineNumbers/>
        <w:spacing w:lineRule="auto" w:line="360"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  <w:t>на территории Челябинской области</w:t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p>
      <w:pPr>
        <w:pStyle w:val="Normal"/>
        <w:suppressLineNumbers/>
        <w:ind w:start="284"/>
        <w:jc w:val="center"/>
        <w:rPr>
          <w:rFonts w:ascii="Liberation Serif;Times New Roma" w:hAnsi="Liberation Serif;Times New Roma" w:cs="Liberation Serif;Times New Roma"/>
          <w:b/>
          <w:bCs/>
          <w:color w:val="000000"/>
          <w:sz w:val="28"/>
          <w:szCs w:val="28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  <w:sz w:val="28"/>
          <w:szCs w:val="28"/>
        </w:rPr>
      </w:r>
    </w:p>
    <w:tbl>
      <w:tblPr>
        <w:tblW w:w="9889" w:type="dxa"/>
        <w:jc w:val="start"/>
        <w:tblInd w:w="-10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889"/>
      </w:tblGrid>
      <w:tr>
        <w:trPr/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ind w:start="284" w:end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Подготовлено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>
      <w:pPr>
        <w:pStyle w:val="Normal"/>
        <w:suppressLineNumbers/>
        <w:ind w:end="425"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rFonts w:ascii="Liberation Serif;Times New Roma" w:hAnsi="Liberation Serif;Times New Roma" w:cs="Liberation Serif;Times New Roma"/>
          <w:b/>
          <w:bCs/>
          <w:color w:val="000000"/>
        </w:rPr>
      </w:pPr>
      <w:r>
        <w:rPr>
          <w:rFonts w:cs="Liberation Serif;Times New Roma" w:ascii="Liberation Serif;Times New Roma" w:hAnsi="Liberation Serif;Times New Roma"/>
          <w:b/>
          <w:bCs/>
          <w:color w:val="000000"/>
        </w:rPr>
      </w:r>
    </w:p>
    <w:p>
      <w:pPr>
        <w:pStyle w:val="Normal"/>
        <w:suppressLineNumbers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Cs/>
          <w:color w:val="000000"/>
          <w:sz w:val="28"/>
          <w:szCs w:val="28"/>
        </w:rPr>
        <w:t>г. Челябинск</w:t>
      </w:r>
    </w:p>
    <w:p>
      <w:pPr>
        <w:pStyle w:val="Normal"/>
        <w:suppressLineNumbers/>
        <w:jc w:val="center"/>
        <w:rPr>
          <w:color w:val="000000"/>
        </w:rPr>
      </w:pPr>
      <w:r>
        <w:rPr>
          <w:rFonts w:cs="Liberation Serif;Times New Roma" w:ascii="Liberation Serif;Times New Roma" w:hAnsi="Liberation Serif;Times New Roma"/>
          <w:bCs/>
          <w:color w:val="000000"/>
          <w:sz w:val="28"/>
          <w:szCs w:val="28"/>
        </w:rPr>
        <w:t>2026 г.</w:t>
      </w:r>
      <w:r>
        <w:br w:type="page"/>
      </w:r>
    </w:p>
    <w:p>
      <w:pPr>
        <w:pStyle w:val="Normal"/>
        <w:widowControl w:val="false"/>
        <w:tabs>
          <w:tab w:val="clear" w:pos="708"/>
          <w:tab w:val="left" w:pos="2758" w:leader="none"/>
          <w:tab w:val="left" w:pos="4356" w:leader="none"/>
        </w:tabs>
        <w:spacing w:before="0" w:after="0"/>
        <w:ind w:firstLine="567"/>
        <w:jc w:val="both"/>
        <w:rPr/>
      </w:pPr>
      <w:r>
        <w:rPr>
          <w:b/>
          <w:color w:val="000000"/>
          <w:sz w:val="28"/>
          <w:szCs w:val="28"/>
        </w:rPr>
        <w:t>По данным Челябинского ЦГМС (</w:t>
      </w:r>
      <w:hyperlink r:id="rId2">
        <w:r>
          <w:rPr>
            <w:rStyle w:val="Style4"/>
            <w:b/>
            <w:color w:val="000000"/>
            <w:sz w:val="28"/>
            <w:szCs w:val="28"/>
          </w:rPr>
          <w:t>http://www.chelpogoda.ru/</w:t>
        </w:r>
      </w:hyperlink>
      <w:r>
        <w:rPr>
          <w:b/>
          <w:color w:val="000000"/>
          <w:sz w:val="28"/>
          <w:szCs w:val="28"/>
        </w:rPr>
        <w:t>):</w:t>
      </w:r>
      <w:bookmarkStart w:id="0" w:name="_Hlk38710384"/>
      <w:r>
        <w:rPr>
          <w:b/>
          <w:color w:val="000000"/>
          <w:sz w:val="28"/>
          <w:szCs w:val="28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2758" w:leader="none"/>
          <w:tab w:val="left" w:pos="4356" w:leader="none"/>
        </w:tabs>
        <w:ind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>о второй половине дня 19 октября, ночью и днём 20 октября в отдельных районах Челябинской области ожидается усиление ветра с порывами до 25 м/с и более.</w:t>
      </w:r>
    </w:p>
    <w:p>
      <w:pPr>
        <w:pStyle w:val="Normal"/>
        <w:ind w:firstLine="708"/>
        <w:jc w:val="both"/>
        <w:rPr>
          <w:color w:val="FF0000"/>
        </w:rPr>
      </w:pPr>
      <w:r>
        <w:rPr>
          <w:color w:val="000000"/>
          <w:sz w:val="28"/>
          <w:szCs w:val="28"/>
        </w:rPr>
        <w:t xml:space="preserve">В связи с </w:t>
      </w:r>
      <w:r>
        <w:rPr>
          <w:color w:val="000000"/>
          <w:sz w:val="28"/>
          <w:szCs w:val="28"/>
        </w:rPr>
        <w:t>опасными</w:t>
      </w:r>
      <w:r>
        <w:rPr>
          <w:color w:val="000000"/>
          <w:sz w:val="28"/>
          <w:szCs w:val="28"/>
        </w:rPr>
        <w:t xml:space="preserve"> метеорологическими явлениями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в отдельных районах повышается вероятность возникновения ЧС, обусловленных авариями на объектах и линиях энергосистем. Возможно, повреждение слабо укрепленных конструкций, обрыв линий электропередач, вал деревьев. Прогнозируется увеличение количества ДТП, появление заторов на дорогах федерального, муниципального и местного значения. </w:t>
      </w:r>
    </w:p>
    <w:p>
      <w:pPr>
        <w:pStyle w:val="Normal"/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Прогнозируется возникновение ландшафтных пожаров на территории области.</w:t>
      </w:r>
    </w:p>
    <w:p>
      <w:pPr>
        <w:pStyle w:val="Normal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Органам местного самоуправления</w:t>
      </w:r>
      <w:r>
        <w:rPr>
          <w:color w:val="000000"/>
          <w:sz w:val="28"/>
          <w:szCs w:val="28"/>
        </w:rPr>
        <w:t xml:space="preserve"> спланировать и организовать выполнение комплекса превентивных мероприятий по предупреждению, снижению риска возникновения чрезвычайных ситуаций и уменьшения их последствий на подведомственных территориях, в т.ч.: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 случае подтверждения </w:t>
      </w:r>
      <w:r>
        <w:rPr>
          <w:color w:val="000000"/>
          <w:sz w:val="28"/>
          <w:szCs w:val="28"/>
        </w:rPr>
        <w:t>опасных</w:t>
      </w:r>
      <w:r>
        <w:rPr>
          <w:color w:val="000000"/>
          <w:sz w:val="28"/>
          <w:szCs w:val="28"/>
        </w:rPr>
        <w:t xml:space="preserve"> метеорологических явлений привести органы управления, силы и средства муниципальных звеньев территориальной подсистемы РСЧС в режим функционирования «ПОВЫШЕННОЙ ГОТОВНОСТИ»;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подготовить распоряжения о проведении комплекса предупредительных мероприятий;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проинформировать население о складывающейся </w:t>
      </w:r>
      <w:r>
        <w:rPr>
          <w:color w:val="000000"/>
          <w:sz w:val="28"/>
          <w:szCs w:val="28"/>
        </w:rPr>
        <w:t>опасной</w:t>
      </w:r>
      <w:r>
        <w:rPr>
          <w:color w:val="000000"/>
          <w:sz w:val="28"/>
          <w:szCs w:val="28"/>
        </w:rPr>
        <w:t xml:space="preserve"> метеорологической обстановке, в том числе с помощью пунктов речевого оповещения и SMS-оповещения;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доведение данной информации (в том числе разместить на официальных сайтах и местных СМИ) до туристических групп, руководителей заинтересованных организаций и предприятий (санаториев, управляющих компаний, дорожных служб, дежурных служб и др.);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взаимодействие со службами МВД, ЖКХ, дорожного хозяйства, энергетики, по обмену информацией и совместным действиям;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схемы подключений резервных источников жизнеобеспечения, провести проверку резервных источников на социально-значимых объектах;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наличие и готовность к использованию запасов материально-технических средств для ликвидации возможных аварий, определить порядок разбронирования резервов;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рекомендовать населению не оставлять транспортные средства под деревьями и вблизи зданий с целью предотвращения порчи имущества;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проверить состояние и ограничить доступ людей к неисправным сооружениям повышенного риска (мосты, эстакады, трубопроводы, линии электропередач, рекламные баннерные щиты);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подготовку расчетов по транспортному обеспечению эвакуации при чрезвычайной ситуации и планы по первоочередному жизнеобеспечению населения;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систем оповещения населения;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уточнить количественный состав сил и средств муниципальных звеньев РСЧС, а также их режимы функционирования;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мониторинг систем и объектов жизнеобеспечения населения (водоснабжение, энергоснабжение, канализационные сети и т.д.);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предусмотреть усиление состава сил и средств дорожных и прочих организаций, привлекаемых для ликвидации возможных заторов, эвакуации автотранспортных средств и пассажиров на дорогах федерального, регионального и муниципального значения;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противопожарному обустройству территорий населенных пунктов (увеличение противопожарных разрывов и минерализованных полос вокруг населенных пунктов, удаление сухой растительности и др.);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установить предупреждающие аншлаги при въезде в леса;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обеспечить запас воды для целей пожаротушения, в т. ч. установку в сельских населенных пунктах у каждого жилого строения емкости (бочки) с водой;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spacing w:lineRule="auto" w:line="228"/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подготовить для возможного использования имеющуюся водовозную и землеройную технику;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готовность сил и средств к круглосуточному реагированию;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85" w:leader="none"/>
        </w:tabs>
        <w:ind w:firstLine="709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 принятых мерах по доведению (согласно приложению 1) и реагированию на прогноз возникновения чрезвычайных ситуаций </w:t>
      </w:r>
      <w:r>
        <w:rPr>
          <w:b/>
          <w:color w:val="000000"/>
          <w:sz w:val="28"/>
          <w:szCs w:val="28"/>
          <w:u w:val="single"/>
        </w:rPr>
        <w:t>(распорядительный документ координационного органа муниципального звена РСЧС Челябинской области о принятых решениях по реагированию на угрозу возникновения чрезвычайной ситуации)</w:t>
      </w:r>
      <w:r>
        <w:rPr>
          <w:color w:val="000000"/>
          <w:sz w:val="28"/>
          <w:szCs w:val="28"/>
        </w:rPr>
        <w:t xml:space="preserve"> проинформировать Главное управление МЧС России по Челябинской области через орган повседневного управления (ЕДДС) до 18.00 часов 1</w:t>
      </w:r>
      <w:r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.10.2026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Я-4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наименование муниципального образования» </w:t>
      </w:r>
      <w:r>
        <w:rPr>
          <w:b/>
          <w:color w:val="000000"/>
          <w:sz w:val="28"/>
          <w:szCs w:val="28"/>
        </w:rPr>
        <w:t>с обязательным предоставлением Ф.И.О. сотрудника, принявшего информацию по электронной почте</w:t>
      </w:r>
      <w:r>
        <w:rPr>
          <w:color w:val="000000"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0" w:leader="none"/>
        </w:tabs>
        <w:suppressAutoHyphens w:val="fals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Главному управлению Министерства внутренних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усилению охраны общественного порядка в местах пожаров и на прилегающих к ним территориях, обеспечить работу мобильных постов, ограничивающих доступ населения и транспорта в леса.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Главному управлению лесами Челябинской области и руководителям особо охраняемых природных территорий Челябинской области:</w:t>
      </w:r>
    </w:p>
    <w:p>
      <w:pPr>
        <w:pStyle w:val="Normal"/>
        <w:tabs>
          <w:tab w:val="clear" w:pos="708"/>
          <w:tab w:val="left" w:pos="0" w:leader="none"/>
        </w:tabs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выполнение необходимого комплекса мероприятий по недопущению возникновения очагов природных пожаров, определенных приказом Министерства природных ресурсов и экологии Российской Федерации (в части касающейся) от 23 июня 2014 г. № 276 «Об утверждении Порядка осуществления мониторинга пожарной опасности в лесах и лесных пожаров»: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IV классе пожарной опасности в лесах по условиям погоды проводить с 8 до 20 часов по каждому маршруту патрулирования на всей территории использования наземных средств наблюдения;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наземное патрулирование при V классе пожарной опасности в лесах по условиям погоды проводить на лесных участках с природной пожарной опасностью IV и V класса – круглосуточно, а для I, II и III в течение светлого времени суток на всей территории использования наземных средств наблюдения;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рассмотреть возможность авиапатрулирования;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в состоянии готовности к тушению пожаров силы и средства пожаротушения, в том числе резервные;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круглосуточное дежурство пожарных команд на ПХС;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  <w:tab w:val="left" w:pos="1134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принять дополнительные меры по соблюдению требований пожарной безопасности в лесах с целью предотвращения перехода огня на участки леса, подвергшегося радиоактивному загрязнению.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реагирование пожарно-спасательных подразделений в соответствии со сводным планом тушения лесных и ландшафтных пожаров;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готовности техники и оборудования к применению;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складывающийся обстановки вводить в боевой расчет резервные отделения в пожарно-спасательных подразделений;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провести проверку готовности техники сводных мобильных отрядов по тушению природных пожаров;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993" w:leader="none"/>
        </w:tabs>
        <w:suppressAutoHyphens w:val="false"/>
        <w:ind w:firstLine="567" w:start="0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мест дислокации пожарно-спасательных подразделений определить маршруты для мониторинга лесопожарной обстановки.</w:t>
      </w:r>
    </w:p>
    <w:p>
      <w:pPr>
        <w:pStyle w:val="Normal"/>
        <w:tabs>
          <w:tab w:val="clear" w:pos="708"/>
          <w:tab w:val="left" w:pos="1185" w:leader="none"/>
        </w:tabs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tbl>
      <w:tblPr>
        <w:tblW w:w="10085" w:type="dxa"/>
        <w:jc w:val="start"/>
        <w:tblInd w:w="8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387"/>
        <w:gridCol w:w="2265"/>
        <w:gridCol w:w="2433"/>
      </w:tblGrid>
      <w:tr>
        <w:trPr>
          <w:trHeight w:val="2679" w:hRule="exact"/>
          <w:cantSplit w:val="true"/>
        </w:trPr>
        <w:tc>
          <w:tcPr>
            <w:tcW w:w="5387" w:type="dxa"/>
            <w:tcBorders/>
          </w:tcPr>
          <w:p>
            <w:pPr>
              <w:pStyle w:val="Normal"/>
              <w:tabs>
                <w:tab w:val="clear" w:pos="708"/>
                <w:tab w:val="left" w:pos="1582" w:leader="none"/>
                <w:tab w:val="left" w:pos="2160" w:leader="none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tabs>
                <w:tab w:val="clear" w:pos="708"/>
                <w:tab w:val="left" w:pos="1582" w:leader="none"/>
                <w:tab w:val="left" w:pos="2160" w:leader="none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tabs>
                <w:tab w:val="clear" w:pos="708"/>
                <w:tab w:val="left" w:pos="1582" w:leader="none"/>
                <w:tab w:val="left" w:pos="2160" w:leader="none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</w:t>
            </w:r>
          </w:p>
          <w:p>
            <w:pPr>
              <w:pStyle w:val="Normal"/>
              <w:tabs>
                <w:tab w:val="clear" w:pos="708"/>
                <w:tab w:val="left" w:pos="1582" w:leader="none"/>
                <w:tab w:val="left" w:pos="2160" w:leader="none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ЦУКС Главного управления МЧС России</w:t>
            </w:r>
          </w:p>
          <w:p>
            <w:pPr>
              <w:pStyle w:val="Normal"/>
              <w:tabs>
                <w:tab w:val="clear" w:pos="708"/>
                <w:tab w:val="left" w:pos="1582" w:leader="none"/>
                <w:tab w:val="left" w:pos="2160" w:leader="none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 Челябинской области</w:t>
            </w:r>
          </w:p>
          <w:p>
            <w:pPr>
              <w:pStyle w:val="Normal"/>
              <w:tabs>
                <w:tab w:val="clear" w:pos="708"/>
                <w:tab w:val="left" w:pos="1582" w:leader="none"/>
                <w:tab w:val="left" w:pos="2160" w:leader="none"/>
              </w:tabs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(старший оперативный дежурный)</w:t>
            </w:r>
          </w:p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подполковник внутренней службы</w:t>
            </w:r>
          </w:p>
        </w:tc>
        <w:tc>
          <w:tcPr>
            <w:tcW w:w="2265" w:type="dxa"/>
            <w:tcBorders/>
          </w:tcPr>
          <w:p>
            <w:pPr>
              <w:pStyle w:val="Normal"/>
              <w:snapToGrid w:val="false"/>
              <w:ind w:firstLine="1004" w:start="-28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</w:rPr>
            </w:pPr>
            <w:r>
              <w:rPr/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  <w:p>
            <w:pPr>
              <w:pStyle w:val="Normal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</w:tc>
        <w:tc>
          <w:tcPr>
            <w:tcW w:w="2433" w:type="dxa"/>
            <w:tcBorders/>
          </w:tcPr>
          <w:p>
            <w:pPr>
              <w:pStyle w:val="Normal"/>
              <w:snapToGrid w:val="false"/>
              <w:ind w:end="13"/>
              <w:jc w:val="end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end="13"/>
              <w:jc w:val="end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end="13"/>
              <w:jc w:val="end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end="13"/>
              <w:jc w:val="end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end="13"/>
              <w:jc w:val="end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end="13"/>
              <w:jc w:val="end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</w:r>
          </w:p>
          <w:p>
            <w:pPr>
              <w:pStyle w:val="Normal"/>
              <w:ind w:end="13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Кузьминых</w:t>
            </w:r>
          </w:p>
        </w:tc>
      </w:tr>
    </w:tbl>
    <w:p>
      <w:pPr>
        <w:pStyle w:val="Normal"/>
        <w:jc w:val="end"/>
        <w:rPr>
          <w:color w:val="000000"/>
        </w:rPr>
      </w:pPr>
      <w:r>
        <w:br w:type="page"/>
      </w:r>
      <w:bookmarkEnd w:id="0"/>
      <w:r>
        <w:rPr>
          <w:b/>
          <w:color w:val="000000"/>
          <w:sz w:val="22"/>
          <w:szCs w:val="22"/>
        </w:rPr>
        <w:t>Приложение 1</w:t>
      </w:r>
    </w:p>
    <w:p>
      <w:pPr>
        <w:pStyle w:val="Normal"/>
        <w:jc w:val="center"/>
        <w:rPr>
          <w:b/>
          <w:color w:val="000000"/>
          <w:spacing w:val="-20"/>
          <w:sz w:val="22"/>
          <w:szCs w:val="22"/>
        </w:rPr>
      </w:pPr>
      <w:r>
        <w:rPr>
          <w:b/>
          <w:color w:val="000000"/>
          <w:spacing w:val="-20"/>
          <w:sz w:val="22"/>
          <w:szCs w:val="22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Отчет </w:t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r>
        <w:rPr>
          <w:b/>
          <w:color w:val="000000"/>
          <w:spacing w:val="-20"/>
        </w:rPr>
        <w:t xml:space="preserve">о  доведении  информации до населения, руководителей  муниципальных образований, </w:t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r>
        <w:rPr>
          <w:b/>
          <w:color w:val="000000"/>
          <w:spacing w:val="-20"/>
        </w:rPr>
        <w:t>дежурных служб,  организаций и предприятий</w:t>
      </w:r>
      <w:r>
        <w:rPr>
          <w:color w:val="000000"/>
          <w:spacing w:val="-20"/>
        </w:rPr>
        <w:t>.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FF0000"/>
        </w:rPr>
      </w:pPr>
      <w:r>
        <w:rPr>
          <w:color w:val="FF0000"/>
        </w:rPr>
        <mc:AlternateContent>
          <mc:Choice Requires="wps">
            <w:drawing>
              <wp:anchor behindDoc="0" distT="0" distB="0" distL="0" distR="114300" simplePos="0" locked="0" layoutInCell="0" allowOverlap="1" relativeHeight="2" wp14:anchorId="0ED9D3D3">
                <wp:simplePos x="0" y="0"/>
                <wp:positionH relativeFrom="margin">
                  <wp:posOffset>-172085</wp:posOffset>
                </wp:positionH>
                <wp:positionV relativeFrom="page">
                  <wp:posOffset>1790700</wp:posOffset>
                </wp:positionV>
                <wp:extent cx="6181725" cy="2000250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560" cy="2000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11" w:type="dxa"/>
                              <w:jc w:val="start"/>
                              <w:tblInd w:w="-5" w:type="dxa"/>
                              <w:tblLayout w:type="fixed"/>
                              <w:tblCellMar>
                                <w:top w:w="0" w:type="dxa"/>
                                <w:start w:w="108" w:type="dxa"/>
                                <w:bottom w:w="0" w:type="dxa"/>
                                <w:end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34"/>
                              <w:gridCol w:w="4251"/>
                              <w:gridCol w:w="2393"/>
                              <w:gridCol w:w="2433"/>
                            </w:tblGrid>
                            <w:tr>
                              <w:trPr/>
                              <w:tc>
                                <w:tcPr>
                                  <w:tcW w:w="534" w:type="dxa"/>
                                  <w:vMerge w:val="restart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Style21"/>
                                    <w:jc w:val="center"/>
                                    <w:rPr/>
                                  </w:pPr>
                                  <w:r>
                                    <w:rPr>
                                      <w:spacing w:val="-20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spacing w:val="-20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9077" w:type="dxa"/>
                                  <w:gridSpan w:val="3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Style21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  <w:t>Доведение прогноза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vMerge w:val="continue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center"/>
                                    <w:rPr>
                                      <w:b/>
                                      <w:spacing w:val="-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Style21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Подразделение, организация, представитель администрации.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Style21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Ф.И.О.</w:t>
                                  </w:r>
                                </w:p>
                                <w:p>
                                  <w:pPr>
                                    <w:pStyle w:val="Style21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телефон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  <w:shd w:color="auto" w:fill="D9D9D9" w:val="clear"/>
                                </w:tcPr>
                                <w:p>
                                  <w:pPr>
                                    <w:pStyle w:val="Style21"/>
                                    <w:jc w:val="center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Время/дата доведения прогноза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Глава  ГО, МО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ГИБДД  города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Управление ЖКХ города, муниципального образования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и. т.д.</w:t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51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39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21"/>
                                    <w:snapToGrid w:val="false"/>
                                    <w:jc w:val="both"/>
                                    <w:rPr>
                                      <w:spacing w:val="-20"/>
                                    </w:rPr>
                                  </w:pPr>
                                  <w:r>
                                    <w:rPr>
                                      <w:spacing w:val="-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6840" rIns="6840" tIns="6840" bIns="68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13.55pt;margin-top:141pt;width:486.7pt;height:157.45pt;mso-wrap-style:square;v-text-anchor:top;mso-position-horizontal-relative:margin;mso-position-vertical-relative:page" wp14:anchorId="0ED9D3D3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11" w:type="dxa"/>
                        <w:jc w:val="start"/>
                        <w:tblInd w:w="-5" w:type="dxa"/>
                        <w:tblLayout w:type="fixed"/>
                        <w:tblCellMar>
                          <w:top w:w="0" w:type="dxa"/>
                          <w:start w:w="108" w:type="dxa"/>
                          <w:bottom w:w="0" w:type="dxa"/>
                          <w:end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34"/>
                        <w:gridCol w:w="4251"/>
                        <w:gridCol w:w="2393"/>
                        <w:gridCol w:w="2433"/>
                      </w:tblGrid>
                      <w:tr>
                        <w:trPr/>
                        <w:tc>
                          <w:tcPr>
                            <w:tcW w:w="534" w:type="dxa"/>
                            <w:vMerge w:val="restart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Style21"/>
                              <w:jc w:val="center"/>
                              <w:rPr/>
                            </w:pPr>
                            <w:r>
                              <w:rPr>
                                <w:spacing w:val="-20"/>
                              </w:rPr>
                              <w:t xml:space="preserve">№ </w:t>
                            </w:r>
                            <w:r>
                              <w:rPr>
                                <w:spacing w:val="-20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9077" w:type="dxa"/>
                            <w:gridSpan w:val="3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Style21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  <w:t>Доведение прогноза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vMerge w:val="continue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Style21"/>
                              <w:snapToGrid w:val="false"/>
                              <w:jc w:val="center"/>
                              <w:rPr>
                                <w:b/>
                                <w:spacing w:val="-20"/>
                              </w:rPr>
                            </w:pPr>
                            <w:r>
                              <w:rPr>
                                <w:b/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Style21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Подразделение, организация, представитель администрации.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Style21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Ф.И.О.</w:t>
                            </w:r>
                          </w:p>
                          <w:p>
                            <w:pPr>
                              <w:pStyle w:val="Style21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телефон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  <w:shd w:color="auto" w:fill="D9D9D9" w:val="clear"/>
                          </w:tcPr>
                          <w:p>
                            <w:pPr>
                              <w:pStyle w:val="Style21"/>
                              <w:jc w:val="center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Время/дата доведения прогноза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Глава  ГО, МО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ГИБДД  города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Управление ЖКХ города, муниципального образования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и. т.д.</w:t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51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39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Style21"/>
                              <w:snapToGrid w:val="false"/>
                              <w:jc w:val="both"/>
                              <w:rPr>
                                <w:spacing w:val="-20"/>
                              </w:rPr>
                            </w:pPr>
                            <w:r>
                              <w:rPr>
                                <w:spacing w:val="-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2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8"/>
          <w:tab w:val="left" w:pos="1377" w:leader="none"/>
        </w:tabs>
        <w:rPr>
          <w:color w:val="FF0000"/>
        </w:rPr>
      </w:pPr>
      <w:r>
        <w:rPr>
          <w:color w:val="FF0000"/>
        </w:rPr>
      </w:r>
    </w:p>
    <w:sectPr>
      <w:type w:val="nextPage"/>
      <w:pgSz w:w="11906" w:h="16838"/>
      <w:pgMar w:left="1276" w:right="567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1495"/>
        </w:tabs>
        <w:ind w:start="1495" w:hanging="360"/>
      </w:pPr>
      <w:rPr/>
    </w:lvl>
    <w:lvl w:ilvl="1">
      <w:start w:val="1"/>
      <w:numFmt w:val="decimal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b w:val="false"/>
        <w:bCs w:val="false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b w:val="false"/>
        <w:bCs w:val="false"/>
      </w:rPr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931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51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71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91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811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531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51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71" w:hanging="180"/>
      </w:pPr>
      <w:rPr/>
    </w:lvl>
  </w:abstractNum>
  <w:abstractNum w:abstractNumId="6">
    <w:lvl w:ilvl="0">
      <w:start w:val="1"/>
      <w:numFmt w:val="decimal"/>
      <w:lvlText w:val="%1)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931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51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71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91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811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531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51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71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360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sz w:val="28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sz w:val="28"/>
      <w:szCs w:val="32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6z0" w:customStyle="1">
    <w:name w:val="WW8Num6z0"/>
    <w:qFormat/>
    <w:rPr>
      <w:b w:val="false"/>
      <w:bCs w:val="false"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Hyperlink" w:customStyle="1">
    <w:name w:val="Hyperlink"/>
    <w:qFormat/>
    <w:rPr>
      <w:color w:val="000080"/>
      <w:u w:val="single"/>
    </w:rPr>
  </w:style>
  <w:style w:type="character" w:styleId="Style9" w:customStyle="1">
    <w:name w:val="Основной текст с отступом Знак"/>
    <w:qFormat/>
    <w:rPr>
      <w:sz w:val="24"/>
      <w:szCs w:val="24"/>
      <w:lang w:val="ru-RU"/>
    </w:rPr>
  </w:style>
  <w:style w:type="character" w:styleId="6" w:customStyle="1">
    <w:name w:val="Заголовок 6 Знак"/>
    <w:qFormat/>
    <w:rPr>
      <w:rFonts w:ascii="Cambria" w:hAnsi="Cambria" w:eastAsia="Times New Roman" w:cs="Times New Roman"/>
      <w:i/>
      <w:iCs/>
      <w:color w:val="243F60"/>
      <w:sz w:val="24"/>
      <w:szCs w:val="24"/>
    </w:rPr>
  </w:style>
  <w:style w:type="character" w:styleId="Style10" w:customStyle="1">
    <w:name w:val="Основной текст Знак"/>
    <w:qFormat/>
    <w:rPr>
      <w:bCs/>
      <w:sz w:val="28"/>
      <w:szCs w:val="28"/>
    </w:rPr>
  </w:style>
  <w:style w:type="character" w:styleId="user" w:customStyle="1">
    <w:name w:val="Символ нумерации (user)"/>
    <w:qFormat/>
    <w:rPr>
      <w:b w:val="false"/>
      <w:bCs w:val="fals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>
      <w:bCs/>
      <w:sz w:val="28"/>
      <w:szCs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3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4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16" w:customStyle="1">
    <w:name w:val="Знак Знак Знак Знак Знак Знак Знак Знак Знак"/>
    <w:basedOn w:val="Normal"/>
    <w:qFormat/>
    <w:pPr>
      <w:widowControl w:val="false"/>
      <w:spacing w:lineRule="exact" w:line="240" w:before="0" w:after="160"/>
      <w:jc w:val="end"/>
    </w:pPr>
    <w:rPr>
      <w:sz w:val="20"/>
      <w:szCs w:val="20"/>
      <w:lang w:val="en-GB"/>
    </w:rPr>
  </w:style>
  <w:style w:type="paragraph" w:styleId="Style17" w:customStyle="1">
    <w:name w:val="Знак Знак Знак"/>
    <w:basedOn w:val="Normal"/>
    <w:qFormat/>
    <w:pPr>
      <w:widowControl w:val="false"/>
      <w:spacing w:lineRule="exact" w:line="240" w:before="0" w:after="160"/>
      <w:jc w:val="end"/>
    </w:pPr>
    <w:rPr>
      <w:sz w:val="20"/>
      <w:szCs w:val="20"/>
      <w:lang w:val="en-GB"/>
    </w:rPr>
  </w:style>
  <w:style w:type="paragraph" w:styleId="Style18" w:customStyle="1">
    <w:name w:val="Знак Знак Знак Знак Знак Знак"/>
    <w:basedOn w:val="Normal"/>
    <w:next w:val="Heading1"/>
    <w:qFormat/>
    <w:pPr>
      <w:spacing w:lineRule="exact" w:line="240" w:before="0" w:after="160"/>
      <w:jc w:val="both"/>
    </w:pPr>
    <w:rPr>
      <w:rFonts w:ascii="Verdana" w:hAnsi="Verdana" w:cs="Verdana"/>
      <w:sz w:val="20"/>
      <w:szCs w:val="20"/>
      <w:lang w:val="en-US"/>
    </w:rPr>
  </w:style>
  <w:style w:type="paragraph" w:styleId="Style19" w:customStyle="1">
    <w:name w:val="Знак Знак Знак Знак Знак Знак Знак"/>
    <w:basedOn w:val="Normal"/>
    <w:qFormat/>
    <w:pPr>
      <w:widowControl w:val="false"/>
      <w:spacing w:lineRule="exact" w:line="240" w:before="0" w:after="160"/>
      <w:jc w:val="end"/>
    </w:pPr>
    <w:rPr>
      <w:sz w:val="20"/>
      <w:szCs w:val="20"/>
      <w:lang w:val="en-GB"/>
    </w:rPr>
  </w:style>
  <w:style w:type="paragraph" w:styleId="Style20" w:customStyle="1">
    <w:name w:val="Знак"/>
    <w:basedOn w:val="Normal"/>
    <w:qFormat/>
    <w:pPr>
      <w:spacing w:lineRule="exact" w:line="240" w:before="0" w:after="160"/>
    </w:pPr>
    <w:rPr>
      <w:rFonts w:eastAsia="Calibri"/>
      <w:sz w:val="20"/>
      <w:szCs w:val="20"/>
    </w:rPr>
  </w:style>
  <w:style w:type="paragraph" w:styleId="BodyTextIndent">
    <w:name w:val="Body Text Indent"/>
    <w:basedOn w:val="Normal"/>
    <w:pPr>
      <w:spacing w:before="0" w:after="120"/>
      <w:ind w:start="283"/>
    </w:pPr>
    <w:rPr/>
  </w:style>
  <w:style w:type="paragraph" w:styleId="11" w:customStyle="1">
    <w:name w:val="Знак1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BlockText">
    <w:name w:val="Block Text"/>
    <w:basedOn w:val="Normal"/>
    <w:qFormat/>
    <w:pPr>
      <w:widowControl w:val="false"/>
      <w:tabs>
        <w:tab w:val="clear" w:pos="708"/>
        <w:tab w:val="left" w:pos="4962" w:leader="none"/>
      </w:tabs>
      <w:ind w:firstLine="720" w:start="462" w:end="230"/>
      <w:jc w:val="both"/>
    </w:pPr>
    <w:rPr>
      <w:sz w:val="28"/>
      <w:szCs w:val="28"/>
    </w:rPr>
  </w:style>
  <w:style w:type="paragraph" w:styleId="user4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 w:customStyle="1">
    <w:name w:val="Заголовок таблицы (user)"/>
    <w:basedOn w:val="user4"/>
    <w:qFormat/>
    <w:pPr>
      <w:jc w:val="center"/>
    </w:pPr>
    <w:rPr>
      <w:b/>
      <w:bCs/>
    </w:rPr>
  </w:style>
  <w:style w:type="paragraph" w:styleId="user6" w:customStyle="1">
    <w:name w:val="Содержимое врезки (user)"/>
    <w:basedOn w:val="Normal"/>
    <w:qFormat/>
    <w:pPr/>
    <w:rPr/>
  </w:style>
  <w:style w:type="paragraph" w:styleId="ListParagraph">
    <w:name w:val="List Paragraph"/>
    <w:basedOn w:val="Normal"/>
    <w:uiPriority w:val="34"/>
    <w:qFormat/>
    <w:rsid w:val="001f7aef"/>
    <w:pPr>
      <w:spacing w:before="0" w:after="0"/>
      <w:ind w:start="720"/>
      <w:contextualSpacing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helpogoda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Application>LibreOffice/25.8.4.2$Linux_X86_64 LibreOffice_project/580$Build-2</Application>
  <AppVersion>15.0000</AppVersion>
  <Pages>5</Pages>
  <Words>901</Words>
  <Characters>6536</Characters>
  <CharactersWithSpaces>7347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2022-11-13T18:40:00Z</dcterms:created>
  <dc:creator>mash</dc:creator>
  <dc:description/>
  <dc:language>ru-RU</dc:language>
  <cp:lastModifiedBy/>
  <cp:lastPrinted>2026-10-19T10:42:31Z</cp:lastPrinted>
  <dcterms:modified xsi:type="dcterms:W3CDTF">2026-10-19T10:43:22Z</dcterms:modified>
  <cp:revision>251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